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6BB434C3" w:rsidR="009E3649" w:rsidRPr="0009073E" w:rsidRDefault="007D1FDC" w:rsidP="002269A4">
      <w:pPr>
        <w:spacing w:after="0" w:line="240" w:lineRule="auto"/>
        <w:rPr>
          <w:b/>
          <w:sz w:val="44"/>
          <w:szCs w:val="44"/>
        </w:rPr>
      </w:pPr>
      <w:r>
        <w:rPr>
          <w:b/>
          <w:sz w:val="44"/>
          <w:szCs w:val="44"/>
        </w:rPr>
        <w:t xml:space="preserve">ISP </w:t>
      </w:r>
      <w:r w:rsidR="00F130F8">
        <w:rPr>
          <w:b/>
          <w:sz w:val="44"/>
          <w:szCs w:val="44"/>
        </w:rPr>
        <w:t>290</w:t>
      </w:r>
      <w:bookmarkStart w:id="0" w:name="_GoBack"/>
      <w:bookmarkEnd w:id="0"/>
    </w:p>
    <w:p w14:paraId="084D6E3C" w14:textId="3C152F1C"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062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81156">
        <w:rPr>
          <w:b/>
          <w:sz w:val="44"/>
          <w:szCs w:val="44"/>
        </w:rPr>
        <w:t xml:space="preserve"> </w:t>
      </w:r>
    </w:p>
    <w:p w14:paraId="2F006C35" w14:textId="13BD08D6" w:rsidR="002269A4" w:rsidRPr="003F5585" w:rsidRDefault="003F5585" w:rsidP="002269A4">
      <w:pPr>
        <w:spacing w:after="0" w:line="240" w:lineRule="auto"/>
        <w:rPr>
          <w:b/>
          <w:sz w:val="28"/>
          <w:szCs w:val="28"/>
        </w:rPr>
      </w:pPr>
      <w:r w:rsidRPr="003F5585">
        <w:rPr>
          <w:rFonts w:ascii="Arial" w:hAnsi="Arial" w:cs="Arial"/>
          <w:b/>
          <w:sz w:val="28"/>
          <w:szCs w:val="28"/>
        </w:rPr>
        <w:t>Educational Progress Policy (Replaces “Ability to Benefit” Policy)</w:t>
      </w:r>
    </w:p>
    <w:p w14:paraId="5608AE0B" w14:textId="77777777" w:rsidR="003F5585" w:rsidRDefault="003F5585"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4E330CB1" w14:textId="787BA59D" w:rsidR="003F5585" w:rsidRDefault="003F5585" w:rsidP="00F130F8">
      <w:pPr>
        <w:ind w:left="2160" w:hanging="2160"/>
        <w:rPr>
          <w:rFonts w:ascii="Arial" w:hAnsi="Arial" w:cs="Arial"/>
        </w:rPr>
      </w:pPr>
      <w:r>
        <w:rPr>
          <w:rFonts w:ascii="Arial" w:hAnsi="Arial" w:cs="Arial"/>
        </w:rPr>
        <w:t xml:space="preserve">Establishes alternate progress standard for students not subject to the Academic Standing </w:t>
      </w:r>
      <w:r w:rsidR="00F130F8">
        <w:rPr>
          <w:rFonts w:ascii="Arial" w:hAnsi="Arial" w:cs="Arial"/>
        </w:rPr>
        <w:t>P</w:t>
      </w:r>
      <w:r>
        <w:rPr>
          <w:rFonts w:ascii="Arial" w:hAnsi="Arial" w:cs="Arial"/>
        </w:rPr>
        <w:t>olicy.</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48290ED7" w14:textId="77777777" w:rsidR="003F5585" w:rsidRDefault="003F5585" w:rsidP="002269A4">
      <w:pPr>
        <w:spacing w:after="0" w:line="240" w:lineRule="auto"/>
        <w:rPr>
          <w:rFonts w:ascii="Arial" w:hAnsi="Arial" w:cs="Arial"/>
        </w:rPr>
      </w:pPr>
      <w:r>
        <w:rPr>
          <w:rFonts w:ascii="Arial" w:hAnsi="Arial" w:cs="Arial"/>
        </w:rPr>
        <w:t xml:space="preserve">Students not subject to the Academic Standing Policy who repeatedly fail to succeed in courses or demonstrate repeated inability to progress toward meeting applicable course or program outcomes may be required to follow an appropriate action plan crafted in response to the student’s demonstrated difficulties.  </w:t>
      </w:r>
    </w:p>
    <w:p w14:paraId="15BC342C" w14:textId="77777777" w:rsidR="003F5585" w:rsidRDefault="003F5585" w:rsidP="002269A4">
      <w:pPr>
        <w:spacing w:after="0" w:line="240" w:lineRule="auto"/>
        <w:rPr>
          <w:rFonts w:ascii="Arial" w:hAnsi="Arial" w:cs="Arial"/>
        </w:rPr>
      </w:pPr>
    </w:p>
    <w:p w14:paraId="36D21079" w14:textId="6A2B2F23" w:rsidR="00037DD3" w:rsidRPr="008F7509" w:rsidRDefault="008F7509" w:rsidP="002269A4">
      <w:pPr>
        <w:spacing w:after="0" w:line="240" w:lineRule="auto"/>
        <w:rPr>
          <w:b/>
        </w:rPr>
      </w:pPr>
      <w:r>
        <w:rPr>
          <w:b/>
          <w:sz w:val="28"/>
          <w:szCs w:val="28"/>
        </w:rPr>
        <w:t>STANDARD</w:t>
      </w:r>
    </w:p>
    <w:p w14:paraId="41F6E845" w14:textId="28C9CEDD" w:rsidR="003F0387" w:rsidRPr="00370C77" w:rsidRDefault="007D1FDC"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lastRenderedPageBreak/>
        <w:t xml:space="preserve">[First piece.] </w:t>
      </w:r>
    </w:p>
    <w:p w14:paraId="5DA1A3A2" w14:textId="6111C3DB" w:rsidR="003F0387" w:rsidRPr="00370C77" w:rsidRDefault="003F0387" w:rsidP="002E3290">
      <w:pPr>
        <w:tabs>
          <w:tab w:val="left" w:pos="2160"/>
        </w:tabs>
        <w:spacing w:after="0" w:line="240" w:lineRule="auto"/>
        <w:ind w:left="2160" w:hanging="360"/>
        <w:rPr>
          <w:rFonts w:ascii="Arial" w:hAnsi="Arial" w:cs="Arial"/>
        </w:rPr>
      </w:pPr>
      <w:r w:rsidRPr="00370C77">
        <w:rPr>
          <w:rFonts w:ascii="Arial" w:hAnsi="Arial" w:cs="Arial"/>
        </w:rPr>
        <w:t xml:space="preserve">a. </w:t>
      </w:r>
      <w:r w:rsidR="00AC7462" w:rsidRPr="00370C77">
        <w:rPr>
          <w:rFonts w:ascii="Arial" w:hAnsi="Arial" w:cs="Arial"/>
        </w:rPr>
        <w:t xml:space="preserve"> </w:t>
      </w:r>
      <w:r w:rsidR="007D1FDC">
        <w:rPr>
          <w:rFonts w:ascii="Arial" w:hAnsi="Arial" w:cs="Arial"/>
        </w:rPr>
        <w:t xml:space="preserve">[Subpart] </w:t>
      </w:r>
    </w:p>
    <w:p w14:paraId="4F78A0EB" w14:textId="182E58FB" w:rsidR="003F0387" w:rsidRPr="00370C77" w:rsidRDefault="007D1FDC"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[Second piece.] </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3F5585"/>
    <w:rsid w:val="00462638"/>
    <w:rsid w:val="004C1601"/>
    <w:rsid w:val="004C7705"/>
    <w:rsid w:val="006D78CC"/>
    <w:rsid w:val="007D1FDC"/>
    <w:rsid w:val="008F7509"/>
    <w:rsid w:val="009116DD"/>
    <w:rsid w:val="00995C20"/>
    <w:rsid w:val="009E3649"/>
    <w:rsid w:val="009F2B1D"/>
    <w:rsid w:val="00AC7462"/>
    <w:rsid w:val="00C04E94"/>
    <w:rsid w:val="00DD691C"/>
    <w:rsid w:val="00E2583B"/>
    <w:rsid w:val="00F130F8"/>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3D970C44-6923-473C-9820-F76A858F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2016-05-11T23:06:00Z</dcterms:created>
  <dcterms:modified xsi:type="dcterms:W3CDTF">2016-05-11T23:06:00Z</dcterms:modified>
</cp:coreProperties>
</file>